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umbers-26"/>
    <w:p>
      <w:pPr>
        <w:pStyle w:val="Heading1"/>
      </w:pPr>
      <w:r>
        <w:t xml:space="preserve">Homiletics Analysis: Numbers 26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Numbers 26 records the second census of Israel, taken on the plains of Moab at the LORD’s command as the nation stands on the threshold of Canaan. Moses and Eleazar count every Israelite male twenty years old and above, tribe by tribe, with the totals carefully recorded. The grand total — 601,730 — is nearly identical to the census of forty years prior (603,550 in Numbers 1), though the internal distribution across tribes has shifted considerably. The chapter closes with two decisive notes: first, the LORD’s instruction that the land is to be divided by lot according to the size of each tribe’s enrollment; second, a solemn retrospective statement — not one person counted in the first census remained, except Caleb and Joshua. The chapter also briefly enumerates the Levites separately (as in Numbers 1) since they receive no territorial inheritance.</w:t>
      </w:r>
    </w:p>
    <w:p>
      <w:pPr>
        <w:pStyle w:val="BodyText"/>
      </w:pPr>
      <w:r>
        <w:rPr>
          <w:b/>
          <w:bCs/>
        </w:rPr>
        <w:t xml:space="preserve">This Text — Intent</w:t>
      </w:r>
    </w:p>
    <w:p>
      <w:pPr>
        <w:pStyle w:val="BodyText"/>
      </w:pPr>
      <w:r>
        <w:t xml:space="preserve">God is establishing something before the conquest begins: the generation that enters the land is a new generation, entirely distinct from the generation that rebelled and was judged, yet standing under the same covenant promises. The census is not administrative formality — it is covenant accounting. It demonstrates that God’s judgment was real (none of the first generation survive), that God’s faithfulness is equally real (Israel as a people has not been destroyed but stands in full number, prepared for possession), and that the promises made to Abraham, Isaac, and Jacob have not lapsed. The intent is to produce in this new generation — and in every reader — a settled confidence that God’s word does not fail, that His discipline is purposeful rather than destructive, and that the covenant continues precisely because it rests on God’s faithfulness, not Israel’s. The identical scale of the two census totals is a theological statement: the God who judged also preserved, and the people He is bringing into Canaan are the fulfillment of promises made four generations earlier.</w:t>
      </w:r>
    </w:p>
    <w:p>
      <w:r>
        <w:pict>
          <v:rect style="width:0;height:1.5pt" o:hralign="center" o:hrstd="t" o:hr="t"/>
        </w:pict>
      </w:r>
    </w:p>
    <w:p>
      <w:pPr>
        <w:pStyle w:val="FirstParagraph"/>
      </w:pPr>
      <w:r>
        <w:rPr>
          <w:b/>
          <w:bCs/>
        </w:rPr>
        <w:t xml:space="preserve">Subject Sentence:</w:t>
      </w:r>
      <w:r>
        <w:t xml:space="preserve"> </w:t>
      </w:r>
      <w:r>
        <w:t xml:space="preserve">A new generation, counted and prepared — God’s covenant faithfulness outlasts His people’s failure.</w:t>
      </w:r>
    </w:p>
    <w:p>
      <w:r>
        <w:pict>
          <v:rect style="width:0;height:1.5pt" o:hralign="center" o:hrstd="t" o:hr="t"/>
        </w:pict>
      </w:r>
    </w:p>
    <w:p>
      <w:pPr>
        <w:pStyle w:val="FirstParagraph"/>
      </w:pPr>
      <w:r>
        <w:rPr>
          <w:b/>
          <w:bCs/>
        </w:rPr>
        <w:t xml:space="preserve">Primary Claim:</w:t>
      </w:r>
      <w:r>
        <w:t xml:space="preserve"> </w:t>
      </w:r>
      <w:r>
        <w:t xml:space="preserve">God demonstrates through this census that His covenant purposes cannot be derailed by human unfaithfulness — the generation that rebelled is gone, but Israel stands at full strength, and every promise made to Abraham remains in force. The reader is summoned to rest in a God whose faithfulness is not contingent on ours.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census as administrative versus theological document</w:t>
      </w:r>
      <w:r>
        <w:t xml:space="preserve">: A common misreading treats Numbers 26 as primarily a record-keeping chapter — genealogical and military information preserved for historical or archival purposes, with minimal theological weight. This reading misses the deliberate theological architecture of the text. The pairing of the two censuses (Numbers 1 and Numbers 26) is not accidental — it brackets the entire wilderness generation narrative. The near-identical totals across forty years of plague, battle, rebellion, and divine judgment are not coincidental demographic data; they are a theological argument. God preserved the nation through a generation of failure. The administrative surface serves a covenantal depth.</w:t>
      </w:r>
    </w:p>
    <w:p>
      <w:pPr>
        <w:pStyle w:val="BodyText"/>
      </w:pPr>
      <w:r>
        <w:rPr>
          <w:b/>
          <w:bCs/>
        </w:rPr>
        <w:t xml:space="preserve">Dispensational readings and Israel’s land inheritance</w:t>
      </w:r>
      <w:r>
        <w:t xml:space="preserve">: Dispensational interpreters rightly emphasize the land-distribution provisions of verses 52–56 as significant for Israel’s future inheritance. The instruction to divide the land by lot according to tribal census numbers is indeed a literal, specific promise of territorial inheritance to ethnic Israel. The Reformed reading does not deny this historical dimension but understands the Promised Land as simultaneously a type of the consummate inheritance of all God’s people — what Hebrews 4 and 11 describe as the</w:t>
      </w:r>
      <w:r>
        <w:t xml:space="preserve"> </w:t>
      </w:r>
      <w:r>
        <w:t xml:space="preserve">“better country”</w:t>
      </w:r>
      <w:r>
        <w:t xml:space="preserve"> </w:t>
      </w:r>
      <w:r>
        <w:t xml:space="preserve">and</w:t>
      </w:r>
      <w:r>
        <w:t xml:space="preserve"> </w:t>
      </w:r>
      <w:r>
        <w:t xml:space="preserve">“heavenly homeland.”</w:t>
      </w:r>
      <w:r>
        <w:t xml:space="preserve"> </w:t>
      </w:r>
      <w:r>
        <w:t xml:space="preserve">The two readings are not mutually exclusive on the historical level; the Reformed reading adds the canonical-typological dimension without evacuating the historical. This is an</w:t>
      </w:r>
      <w:r>
        <w:t xml:space="preserve"> </w:t>
      </w:r>
      <w:r>
        <w:rPr>
          <w:i/>
          <w:iCs/>
        </w:rPr>
        <w:t xml:space="preserve">acknowledge</w:t>
      </w:r>
      <w:r>
        <w:t xml:space="preserve"> </w:t>
      </w:r>
      <w:r>
        <w:t xml:space="preserve">rather than a</w:t>
      </w:r>
      <w:r>
        <w:t xml:space="preserve"> </w:t>
      </w:r>
      <w:r>
        <w:rPr>
          <w:i/>
          <w:iCs/>
        </w:rPr>
        <w:t xml:space="preserve">refute</w:t>
      </w:r>
      <w:r>
        <w:t xml:space="preserve"> </w:t>
      </w:r>
      <w:r>
        <w:t xml:space="preserve">— dispensational interpreters are correct that the land promise is real and specific; the Reformed tradition extends the fulfillment rather than canceling the promise.</w:t>
      </w:r>
    </w:p>
    <w:p>
      <w:pPr>
        <w:pStyle w:val="BodyText"/>
      </w:pPr>
      <w:r>
        <w:rPr>
          <w:b/>
          <w:bCs/>
        </w:rPr>
        <w:t xml:space="preserve">The Caleb-and-Joshua exception as incidental versus structural</w:t>
      </w:r>
      <w:r>
        <w:t xml:space="preserve">: Some readings treat the closing note about Caleb and Joshua (vv. 64–65) as a mere biographical footnote — a historical detail confirming continuity. This underreads the passage. The note is the chapter’s theological climax. It is the only point in the chapter where the narrator’s voice steps back from enumeration to make an explicit interpretive statement: the LORD had said they would die in the wilderness — and they did, every one of them, except these two. The exception proves the judgment; the survival of Caleb and Joshua proves that faithfulness to God is not pointless. The Reformed reading insists that this closing note is load-bearing for the chapter’s Primary Claim — it is not an appendix but a verdict.</w:t>
      </w:r>
    </w:p>
    <w:p>
      <w:pPr>
        <w:pStyle w:val="BodyText"/>
      </w:pPr>
      <w:r>
        <w:rPr>
          <w:b/>
          <w:bCs/>
        </w:rPr>
        <w:t xml:space="preserve">Wesleyan/Arminian readings of judgment and covenant</w:t>
      </w:r>
      <w:r>
        <w:t xml:space="preserve">: Wesleyan interpreters sometimes read the wilderness deaths as evidence that covenant members can permanently fall from grace — the first generation perished, therefore covenant standing is genuinely losable. The Reformed reading acknowledges the genuine judgment but interprets it within the framework of corporate covenant membership, which includes both true believers and nominal participants. The first generation’s death in the wilderness does not settle the question of individual regenerate souls losing salvation — it settles the question of what happens to a covenantal community that collectively refuses the word of God. The distinction between corporate covenant discipline and individual eternal security is hermeneutically necessary here. Hebrews 3–4 applies this narrative to warn professing Christians against hardening their hearts, but the warning is addressed to the</w:t>
      </w:r>
      <w:r>
        <w:t xml:space="preserve"> </w:t>
      </w:r>
      <w:r>
        <w:rPr>
          <w:i/>
          <w:iCs/>
        </w:rPr>
        <w:t xml:space="preserve">community</w:t>
      </w:r>
      <w:r>
        <w:t xml:space="preserve"> </w:t>
      </w:r>
      <w:r>
        <w:t xml:space="preserve">and functions as a means of preserving genuine faith, not as evidence that genuine faith can ultimately fail.</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Numbers 1:1–46</w:t>
      </w:r>
      <w:r>
        <w:t xml:space="preserve"> </w:t>
      </w:r>
      <w:r>
        <w:t xml:space="preserve">— The first census establishes the baseline; Numbers 26 is incomprehensible without it. The paired censuses bracket the wilderness generation and together make the theological argument: judgment was real, preservation was equally real.</w:t>
      </w:r>
    </w:p>
    <w:p>
      <w:pPr>
        <w:numPr>
          <w:ilvl w:val="0"/>
          <w:numId w:val="1001"/>
        </w:numPr>
      </w:pPr>
      <w:r>
        <w:rPr>
          <w:b/>
          <w:bCs/>
        </w:rPr>
        <w:t xml:space="preserve">Genesis 12:1–3; 15:1–21; 17:1–8</w:t>
      </w:r>
      <w:r>
        <w:t xml:space="preserve"> </w:t>
      </w:r>
      <w:r>
        <w:t xml:space="preserve">— The Abrahamic covenant promises land and descendants. Numbers 26 is a visible installment on both. The nation standing at 601,730 men of fighting age is the covenant seed prepared to receive the covenant land.</w:t>
      </w:r>
    </w:p>
    <w:p>
      <w:pPr>
        <w:numPr>
          <w:ilvl w:val="0"/>
          <w:numId w:val="1001"/>
        </w:numPr>
      </w:pPr>
      <w:r>
        <w:rPr>
          <w:b/>
          <w:bCs/>
        </w:rPr>
        <w:t xml:space="preserve">Numbers 14:26–35</w:t>
      </w:r>
      <w:r>
        <w:t xml:space="preserve"> </w:t>
      </w:r>
      <w:r>
        <w:t xml:space="preserve">— The LORD’s sentence on the first generation —</w:t>
      </w:r>
      <w:r>
        <w:t xml:space="preserve"> </w:t>
      </w:r>
      <w:r>
        <w:t xml:space="preserve">“your dead bodies shall fall in this wilderness”</w:t>
      </w:r>
      <w:r>
        <w:t xml:space="preserve"> </w:t>
      </w:r>
      <w:r>
        <w:t xml:space="preserve">— is what Numbers 26:64–65 confirms as executed. The judgment was announced; this census confirms its completion. God said it; God did it.</w:t>
      </w:r>
    </w:p>
    <w:p>
      <w:pPr>
        <w:numPr>
          <w:ilvl w:val="0"/>
          <w:numId w:val="1001"/>
        </w:numPr>
      </w:pPr>
      <w:r>
        <w:rPr>
          <w:b/>
          <w:bCs/>
        </w:rPr>
        <w:t xml:space="preserve">Hebrews 3:7–4:13</w:t>
      </w:r>
      <w:r>
        <w:t xml:space="preserve"> </w:t>
      </w:r>
      <w:r>
        <w:t xml:space="preserve">— The New Testament’s direct application of the wilderness generation narrative. The author uses the first generation’s failure as a warning to the church, but the underlying logic requires the second generation’s success — which Numbers 26 sets up. The</w:t>
      </w:r>
      <w:r>
        <w:t xml:space="preserve"> </w:t>
      </w:r>
      <w:r>
        <w:t xml:space="preserve">“rest”</w:t>
      </w:r>
      <w:r>
        <w:t xml:space="preserve"> </w:t>
      </w:r>
      <w:r>
        <w:t xml:space="preserve">that remains is entered by those who do not harden their hearts.</w:t>
      </w:r>
    </w:p>
    <w:p>
      <w:pPr>
        <w:numPr>
          <w:ilvl w:val="0"/>
          <w:numId w:val="1001"/>
        </w:numPr>
      </w:pPr>
      <w:r>
        <w:rPr>
          <w:b/>
          <w:bCs/>
        </w:rPr>
        <w:t xml:space="preserve">Romans 9:6</w:t>
      </w:r>
      <w:r>
        <w:t xml:space="preserve"> </w:t>
      </w:r>
      <w:r>
        <w:t xml:space="preserve">—</w:t>
      </w:r>
      <w:r>
        <w:t xml:space="preserve"> </w:t>
      </w:r>
      <w:r>
        <w:t xml:space="preserve">“It is not as though the word of God has failed.”</w:t>
      </w:r>
      <w:r>
        <w:t xml:space="preserve"> </w:t>
      </w:r>
      <w:r>
        <w:t xml:space="preserve">Paul’s argument in Romans 9–11 about Israel’s apparent rejection of the Messiah rests on the same covenant-faithfulness logic Numbers 26 displays: God’s purposes cannot be thwarted by human failure; He accomplishes His promises through and despite the failures of His people.</w:t>
      </w:r>
    </w:p>
    <w:p>
      <w:r>
        <w:pict>
          <v:rect style="width:0;height:1.5pt" o:hralign="center" o:hrstd="t" o:hr="t"/>
        </w:pict>
      </w:r>
    </w:p>
    <w:p>
      <w:pPr>
        <w:pStyle w:val="FirstParagraph"/>
      </w:pPr>
      <w:r>
        <w:rPr>
          <w:b/>
          <w:bCs/>
        </w:rPr>
        <w:t xml:space="preserve">Aim:</w:t>
      </w:r>
      <w:r>
        <w:t xml:space="preserve"> </w:t>
      </w:r>
      <w:r>
        <w:t xml:space="preserve">To show that God’s covenant faithfulness — not human consistency — is the ground on which every believer stands, and that this faithfulness has been publicly verified in the history of Israel before the conquest of Canaan.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1–4</w:t>
            </w:r>
          </w:p>
        </w:tc>
        <w:tc>
          <w:tcPr/>
          <w:p>
            <w:pPr>
              <w:pStyle w:val="Compact"/>
            </w:pPr>
            <w:r>
              <w:t xml:space="preserve">The LORD commands Moses and Eleazar to take a census of all Israelite males twenty years and older</w:t>
            </w:r>
          </w:p>
        </w:tc>
        <w:tc>
          <w:tcPr/>
          <w:p>
            <w:pPr>
              <w:pStyle w:val="Compact"/>
            </w:pPr>
            <w:r>
              <w:t xml:space="preserve">Eleazar replaces Aaron (cf. 20:25–28); continuity of priestly office across a generation</w:t>
            </w:r>
          </w:p>
        </w:tc>
      </w:tr>
      <w:tr>
        <w:tc>
          <w:tcPr/>
          <w:p>
            <w:pPr>
              <w:pStyle w:val="Compact"/>
            </w:pPr>
            <w:r>
              <w:t xml:space="preserve">5–11</w:t>
            </w:r>
          </w:p>
        </w:tc>
        <w:tc>
          <w:tcPr/>
          <w:p>
            <w:pPr>
              <w:pStyle w:val="Compact"/>
            </w:pPr>
            <w:r>
              <w:t xml:space="preserve">Census of Reuben (43,730); note on Dathan, Abiram, and Korah’s rebellion and judgment</w:t>
            </w:r>
          </w:p>
        </w:tc>
        <w:tc>
          <w:tcPr/>
          <w:p>
            <w:pPr>
              <w:pStyle w:val="Compact"/>
            </w:pPr>
            <w:r>
              <w:t xml:space="preserve">The narrative pause on Korah is deliberate — rebellion and its consequences embedded in the census record;</w:t>
            </w:r>
            <w:r>
              <w:t xml:space="preserve"> </w:t>
            </w:r>
            <w:r>
              <w:t xml:space="preserve">“the sons of Korah did not die”</w:t>
            </w:r>
            <w:r>
              <w:t xml:space="preserve"> </w:t>
            </w:r>
            <w:r>
              <w:t xml:space="preserve">(v. 11) — notable exception</w:t>
            </w:r>
          </w:p>
        </w:tc>
      </w:tr>
      <w:tr>
        <w:tc>
          <w:tcPr/>
          <w:p>
            <w:pPr>
              <w:pStyle w:val="Compact"/>
            </w:pPr>
            <w:r>
              <w:t xml:space="preserve">12–14</w:t>
            </w:r>
          </w:p>
        </w:tc>
        <w:tc>
          <w:tcPr/>
          <w:p>
            <w:pPr>
              <w:pStyle w:val="Compact"/>
            </w:pPr>
            <w:r>
              <w:t xml:space="preserve">Simeon (22,200) — a dramatic decline from 59,300 in Numbers 1</w:t>
            </w:r>
          </w:p>
        </w:tc>
        <w:tc>
          <w:tcPr/>
          <w:p>
            <w:pPr>
              <w:pStyle w:val="Compact"/>
            </w:pPr>
            <w:r>
              <w:t xml:space="preserve">Likely reflects the plague following Baal Peor (cf. Numbers 25; Zimri was a Simeonite leader)</w:t>
            </w:r>
          </w:p>
        </w:tc>
      </w:tr>
      <w:tr>
        <w:tc>
          <w:tcPr/>
          <w:p>
            <w:pPr>
              <w:pStyle w:val="Compact"/>
            </w:pPr>
            <w:r>
              <w:t xml:space="preserve">15–18</w:t>
            </w:r>
          </w:p>
        </w:tc>
        <w:tc>
          <w:tcPr/>
          <w:p>
            <w:pPr>
              <w:pStyle w:val="Compact"/>
            </w:pPr>
            <w:r>
              <w:t xml:space="preserve">Gad (40,500)</w:t>
            </w:r>
          </w:p>
        </w:tc>
        <w:tc>
          <w:tcPr/>
          <w:p>
            <w:pPr>
              <w:pStyle w:val="Compact"/>
            </w:pPr>
            <w:r>
              <w:t xml:space="preserve">Modest decline from 45,650</w:t>
            </w:r>
          </w:p>
        </w:tc>
      </w:tr>
      <w:tr>
        <w:tc>
          <w:tcPr/>
          <w:p>
            <w:pPr>
              <w:pStyle w:val="Compact"/>
            </w:pPr>
            <w:r>
              <w:t xml:space="preserve">19–22</w:t>
            </w:r>
          </w:p>
        </w:tc>
        <w:tc>
          <w:tcPr/>
          <w:p>
            <w:pPr>
              <w:pStyle w:val="Compact"/>
            </w:pPr>
            <w:r>
              <w:t xml:space="preserve">Judah (76,500)</w:t>
            </w:r>
          </w:p>
        </w:tc>
        <w:tc>
          <w:tcPr/>
          <w:p>
            <w:pPr>
              <w:pStyle w:val="Compact"/>
            </w:pPr>
            <w:r>
              <w:t xml:space="preserve">Slight increase; Er and Onan’s deaths noted; Judah remains the largest tribe</w:t>
            </w:r>
          </w:p>
        </w:tc>
      </w:tr>
      <w:tr>
        <w:tc>
          <w:tcPr/>
          <w:p>
            <w:pPr>
              <w:pStyle w:val="Compact"/>
            </w:pPr>
            <w:r>
              <w:t xml:space="preserve">23–25</w:t>
            </w:r>
          </w:p>
        </w:tc>
        <w:tc>
          <w:tcPr/>
          <w:p>
            <w:pPr>
              <w:pStyle w:val="Compact"/>
            </w:pPr>
            <w:r>
              <w:t xml:space="preserve">Issachar (64,300)</w:t>
            </w:r>
          </w:p>
        </w:tc>
        <w:tc>
          <w:tcPr/>
          <w:p>
            <w:pPr>
              <w:pStyle w:val="Compact"/>
            </w:pPr>
            <w:r>
              <w:t xml:space="preserve">Significant increase from 54,400</w:t>
            </w:r>
          </w:p>
        </w:tc>
      </w:tr>
      <w:tr>
        <w:tc>
          <w:tcPr/>
          <w:p>
            <w:pPr>
              <w:pStyle w:val="Compact"/>
            </w:pPr>
            <w:r>
              <w:t xml:space="preserve">26–27</w:t>
            </w:r>
          </w:p>
        </w:tc>
        <w:tc>
          <w:tcPr/>
          <w:p>
            <w:pPr>
              <w:pStyle w:val="Compact"/>
            </w:pPr>
            <w:r>
              <w:t xml:space="preserve">Zebulun (60,500)</w:t>
            </w:r>
          </w:p>
        </w:tc>
        <w:tc>
          <w:tcPr/>
          <w:p>
            <w:pPr>
              <w:pStyle w:val="Compact"/>
            </w:pPr>
            <w:r>
              <w:t xml:space="preserve">Modest increase</w:t>
            </w:r>
          </w:p>
        </w:tc>
      </w:tr>
      <w:tr>
        <w:tc>
          <w:tcPr/>
          <w:p>
            <w:pPr>
              <w:pStyle w:val="Compact"/>
            </w:pPr>
            <w:r>
              <w:t xml:space="preserve">28–37</w:t>
            </w:r>
          </w:p>
        </w:tc>
        <w:tc>
          <w:tcPr/>
          <w:p>
            <w:pPr>
              <w:pStyle w:val="Compact"/>
            </w:pPr>
            <w:r>
              <w:t xml:space="preserve">Joseph — Manasseh (52,700) and Ephraim (32,500)</w:t>
            </w:r>
          </w:p>
        </w:tc>
        <w:tc>
          <w:tcPr/>
          <w:p>
            <w:pPr>
              <w:pStyle w:val="Compact"/>
            </w:pPr>
            <w:r>
              <w:t xml:space="preserve">Manasseh grows substantially; Ephraim declines; Joseph’s double portion maintained</w:t>
            </w:r>
          </w:p>
        </w:tc>
      </w:tr>
      <w:tr>
        <w:tc>
          <w:tcPr/>
          <w:p>
            <w:pPr>
              <w:pStyle w:val="Compact"/>
            </w:pPr>
            <w:r>
              <w:t xml:space="preserve">38–41</w:t>
            </w:r>
          </w:p>
        </w:tc>
        <w:tc>
          <w:tcPr/>
          <w:p>
            <w:pPr>
              <w:pStyle w:val="Compact"/>
            </w:pPr>
            <w:r>
              <w:t xml:space="preserve">Benjamin (45,600)</w:t>
            </w:r>
          </w:p>
        </w:tc>
        <w:tc>
          <w:tcPr/>
          <w:p>
            <w:pPr>
              <w:pStyle w:val="Compact"/>
            </w:pPr>
            <w:r>
              <w:t xml:space="preserve">Increase from 35,400</w:t>
            </w:r>
          </w:p>
        </w:tc>
      </w:tr>
      <w:tr>
        <w:tc>
          <w:tcPr/>
          <w:p>
            <w:pPr>
              <w:pStyle w:val="Compact"/>
            </w:pPr>
            <w:r>
              <w:t xml:space="preserve">42–43</w:t>
            </w:r>
          </w:p>
        </w:tc>
        <w:tc>
          <w:tcPr/>
          <w:p>
            <w:pPr>
              <w:pStyle w:val="Compact"/>
            </w:pPr>
            <w:r>
              <w:t xml:space="preserve">Dan (64,400)</w:t>
            </w:r>
          </w:p>
        </w:tc>
        <w:tc>
          <w:tcPr/>
          <w:p>
            <w:pPr>
              <w:pStyle w:val="Compact"/>
            </w:pPr>
            <w:r>
              <w:t xml:space="preserve">Increase from 62,700</w:t>
            </w:r>
          </w:p>
        </w:tc>
      </w:tr>
      <w:tr>
        <w:tc>
          <w:tcPr/>
          <w:p>
            <w:pPr>
              <w:pStyle w:val="Compact"/>
            </w:pPr>
            <w:r>
              <w:t xml:space="preserve">44–47</w:t>
            </w:r>
          </w:p>
        </w:tc>
        <w:tc>
          <w:tcPr/>
          <w:p>
            <w:pPr>
              <w:pStyle w:val="Compact"/>
            </w:pPr>
            <w:r>
              <w:t xml:space="preserve">Asher (53,400); Naphtali (45,400)</w:t>
            </w:r>
          </w:p>
        </w:tc>
        <w:tc>
          <w:tcPr/>
          <w:p>
            <w:pPr>
              <w:pStyle w:val="Compact"/>
            </w:pPr>
            <w:r>
              <w:t xml:space="preserve">Both with modest changes</w:t>
            </w:r>
          </w:p>
        </w:tc>
      </w:tr>
      <w:tr>
        <w:tc>
          <w:tcPr/>
          <w:p>
            <w:pPr>
              <w:pStyle w:val="Compact"/>
            </w:pPr>
            <w:r>
              <w:t xml:space="preserve">48–51</w:t>
            </w:r>
          </w:p>
        </w:tc>
        <w:tc>
          <w:tcPr/>
          <w:p>
            <w:pPr>
              <w:pStyle w:val="Compact"/>
            </w:pPr>
            <w:r>
              <w:t xml:space="preserve">Total: 601,730</w:t>
            </w:r>
          </w:p>
        </w:tc>
        <w:tc>
          <w:tcPr/>
          <w:p>
            <w:pPr>
              <w:pStyle w:val="Compact"/>
            </w:pPr>
            <w:r>
              <w:t xml:space="preserve">Nearly identical to 603,550 in Numbers 1 — the theological symmetry</w:t>
            </w:r>
          </w:p>
        </w:tc>
      </w:tr>
      <w:tr>
        <w:tc>
          <w:tcPr/>
          <w:p>
            <w:pPr>
              <w:pStyle w:val="Compact"/>
            </w:pPr>
            <w:r>
              <w:t xml:space="preserve">52–56</w:t>
            </w:r>
          </w:p>
        </w:tc>
        <w:tc>
          <w:tcPr/>
          <w:p>
            <w:pPr>
              <w:pStyle w:val="Compact"/>
            </w:pPr>
            <w:r>
              <w:t xml:space="preserve">LORD instructs that the land be distributed by lot proportionate to tribal enrollment</w:t>
            </w:r>
          </w:p>
        </w:tc>
        <w:tc>
          <w:tcPr/>
          <w:p>
            <w:pPr>
              <w:pStyle w:val="Compact"/>
            </w:pPr>
            <w:r>
              <w:t xml:space="preserve">Lot = divine sovereignty over specific inheritance; size of tribe determines the size of the portion</w:t>
            </w:r>
          </w:p>
        </w:tc>
      </w:tr>
      <w:tr>
        <w:tc>
          <w:tcPr/>
          <w:p>
            <w:pPr>
              <w:pStyle w:val="Compact"/>
            </w:pPr>
            <w:r>
              <w:t xml:space="preserve">57–62</w:t>
            </w:r>
          </w:p>
        </w:tc>
        <w:tc>
          <w:tcPr/>
          <w:p>
            <w:pPr>
              <w:pStyle w:val="Compact"/>
            </w:pPr>
            <w:r>
              <w:t xml:space="preserve">Levitical census: Gershon, Kohath, Merari; total 23,000 males from one month old and above</w:t>
            </w:r>
          </w:p>
        </w:tc>
        <w:tc>
          <w:tcPr/>
          <w:p>
            <w:pPr>
              <w:pStyle w:val="Compact"/>
            </w:pPr>
            <w:r>
              <w:t xml:space="preserve">Levites enumerated separately; no land inheritance; 23,000 vs. 22,000 in Numbers 3 — slight increase</w:t>
            </w:r>
          </w:p>
        </w:tc>
      </w:tr>
      <w:tr>
        <w:tc>
          <w:tcPr/>
          <w:p>
            <w:pPr>
              <w:pStyle w:val="Compact"/>
            </w:pPr>
            <w:r>
              <w:t xml:space="preserve">63–65</w:t>
            </w:r>
          </w:p>
        </w:tc>
        <w:tc>
          <w:tcPr/>
          <w:p>
            <w:pPr>
              <w:pStyle w:val="Compact"/>
            </w:pPr>
            <w:r>
              <w:t xml:space="preserve">Closing statement: not one person from the Numbers 1 census remained, except Caleb and Joshua</w:t>
            </w:r>
          </w:p>
        </w:tc>
        <w:tc>
          <w:tcPr/>
          <w:p>
            <w:pPr>
              <w:pStyle w:val="Compact"/>
            </w:pPr>
            <w:r>
              <w:t xml:space="preserve">The theological verdict of the chapter; fulfillment of Numbers 14:26–35</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Command: A New Count for a New Generation</w:t>
            </w:r>
          </w:p>
        </w:tc>
      </w:tr>
      <w:tr>
        <w:tc>
          <w:tcPr/>
          <w:p>
            <w:pPr>
              <w:pStyle w:val="Compact"/>
            </w:pPr>
            <w:r>
              <w:t xml:space="preserve">2</w:t>
            </w:r>
          </w:p>
        </w:tc>
        <w:tc>
          <w:tcPr/>
          <w:p>
            <w:pPr>
              <w:pStyle w:val="Compact"/>
            </w:pPr>
            <w:r>
              <w:t xml:space="preserve">5–51</w:t>
            </w:r>
          </w:p>
        </w:tc>
        <w:tc>
          <w:tcPr/>
          <w:p>
            <w:pPr>
              <w:pStyle w:val="Compact"/>
            </w:pPr>
            <w:r>
              <w:t xml:space="preserve">The Tribes: Covenant Seed Counted Tribe by Tribe</w:t>
            </w:r>
          </w:p>
        </w:tc>
      </w:tr>
      <w:tr>
        <w:tc>
          <w:tcPr/>
          <w:p>
            <w:pPr>
              <w:pStyle w:val="Compact"/>
            </w:pPr>
            <w:r>
              <w:t xml:space="preserve">3</w:t>
            </w:r>
          </w:p>
        </w:tc>
        <w:tc>
          <w:tcPr/>
          <w:p>
            <w:pPr>
              <w:pStyle w:val="Compact"/>
            </w:pPr>
            <w:r>
              <w:t xml:space="preserve">52–56</w:t>
            </w:r>
          </w:p>
        </w:tc>
        <w:tc>
          <w:tcPr/>
          <w:p>
            <w:pPr>
              <w:pStyle w:val="Compact"/>
            </w:pPr>
            <w:r>
              <w:t xml:space="preserve">The Promise: Land to Be Distributed According to Enrollment</w:t>
            </w:r>
          </w:p>
        </w:tc>
      </w:tr>
      <w:tr>
        <w:tc>
          <w:tcPr/>
          <w:p>
            <w:pPr>
              <w:pStyle w:val="Compact"/>
            </w:pPr>
            <w:r>
              <w:t xml:space="preserve">4</w:t>
            </w:r>
          </w:p>
        </w:tc>
        <w:tc>
          <w:tcPr/>
          <w:p>
            <w:pPr>
              <w:pStyle w:val="Compact"/>
            </w:pPr>
            <w:r>
              <w:t xml:space="preserve">57–62</w:t>
            </w:r>
          </w:p>
        </w:tc>
        <w:tc>
          <w:tcPr/>
          <w:p>
            <w:pPr>
              <w:pStyle w:val="Compact"/>
            </w:pPr>
            <w:r>
              <w:t xml:space="preserve">The Levites: Separate Enumeration, No Territorial Inheritance</w:t>
            </w:r>
          </w:p>
        </w:tc>
      </w:tr>
      <w:tr>
        <w:tc>
          <w:tcPr/>
          <w:p>
            <w:pPr>
              <w:pStyle w:val="Compact"/>
            </w:pPr>
            <w:r>
              <w:t xml:space="preserve">5</w:t>
            </w:r>
          </w:p>
        </w:tc>
        <w:tc>
          <w:tcPr/>
          <w:p>
            <w:pPr>
              <w:pStyle w:val="Compact"/>
            </w:pPr>
            <w:r>
              <w:t xml:space="preserve">63–65</w:t>
            </w:r>
          </w:p>
        </w:tc>
        <w:tc>
          <w:tcPr/>
          <w:p>
            <w:pPr>
              <w:pStyle w:val="Compact"/>
            </w:pPr>
            <w:r>
              <w:t xml:space="preserve">The Verdict: The Judgment Completed, the Faithful Preserved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A new generation, counted and prepared — God’s covenant faithfulness outlasts His people’s failure.</w:t>
      </w:r>
    </w:p>
    <w:p>
      <w:pPr>
        <w:pStyle w:val="BodyText"/>
      </w:pPr>
      <w:r>
        <w:rPr>
          <w:b/>
          <w:bCs/>
        </w:rPr>
        <w:t xml:space="preserve">Primary Claim:</w:t>
      </w:r>
      <w:r>
        <w:t xml:space="preserve"> </w:t>
      </w:r>
      <w:r>
        <w:t xml:space="preserve">God demonstrates through this census that His covenant purposes cannot be derailed by human unfaithfulness — the generation that rebelled is gone, but Israel stands at full strength, and every promise made to Abraham remains in force. The reader is summoned to rest in a God whose faithfulness is not contingent on ours.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God’s promises survive your worst chapters.</w:t>
      </w:r>
      <w:r>
        <w:t xml:space="preserve"> </w:t>
      </w:r>
      <w:r>
        <w:rPr>
          <w:i/>
          <w:iCs/>
        </w:rPr>
        <w:t xml:space="preserve">(Mind/Belief)</w:t>
      </w:r>
      <w:r>
        <w:t xml:space="preserve"> </w:t>
      </w:r>
      <w:r>
        <w:t xml:space="preserve">The near-identical census totals across forty years of rebellion, plague, and mass death are a theological argument in numerical form: God did not abandon the covenant when the first generation abandoned Him. Whatever the reader has done — whatever season of unfaithfulness, drift, or outright rebellion marks their past — God’s covenant purposes were not dismantled by it. This does not minimize the real consequences of sin (the first generation genuinely perished), but it insists that God’s word to His people did not perish with them. The believer whose history includes serious failure must stop calculating God’s future faithfulness based on their own past record. The census numbers say otherwise.</w:t>
      </w:r>
    </w:p>
    <w:p>
      <w:pPr>
        <w:pStyle w:val="BodyText"/>
      </w:pPr>
      <w:r>
        <w:rPr>
          <w:b/>
          <w:bCs/>
        </w:rPr>
        <w:t xml:space="preserve">2. Let the specificity of God’s accounting rebuke vague spirituality.</w:t>
      </w:r>
      <w:r>
        <w:t xml:space="preserve"> </w:t>
      </w:r>
      <w:r>
        <w:rPr>
          <w:i/>
          <w:iCs/>
        </w:rPr>
        <w:t xml:space="preserve">(Mind/Belief)</w:t>
      </w:r>
      <w:r>
        <w:t xml:space="preserve"> </w:t>
      </w:r>
      <w:r>
        <w:t xml:space="preserve">God counts. He counts by name, by tribe, by family, by household. Every male from twenty years old and upward appears in the record. This is not the behavior of a deity making approximate commitments. It is the behavior of a God who has made precise promises to precise people and who tracks the fulfillment of those promises with precision. The contemporary drift toward a spirituality of vague divine goodwill —</w:t>
      </w:r>
      <w:r>
        <w:t xml:space="preserve"> </w:t>
      </w:r>
      <w:r>
        <w:t xml:space="preserve">“God’s got a plan, things will work out”</w:t>
      </w:r>
      <w:r>
        <w:t xml:space="preserve"> </w:t>
      </w:r>
      <w:r>
        <w:t xml:space="preserve">— should be arrested by Numbers 26. God’s covenantal engagement with His people is specific, named, and accountable. He knows who belongs to Him, and He keeps the count.</w:t>
      </w:r>
    </w:p>
    <w:p>
      <w:pPr>
        <w:pStyle w:val="BodyText"/>
      </w:pPr>
      <w:r>
        <w:rPr>
          <w:b/>
          <w:bCs/>
        </w:rPr>
        <w:t xml:space="preserve">3. Take sin’s consequences seriously without concluding that grace has been withdrawn.</w:t>
      </w:r>
      <w:r>
        <w:t xml:space="preserve"> </w:t>
      </w:r>
      <w:r>
        <w:rPr>
          <w:i/>
          <w:iCs/>
        </w:rPr>
        <w:t xml:space="preserve">(Affections/Worship)</w:t>
      </w:r>
      <w:r>
        <w:t xml:space="preserve"> </w:t>
      </w:r>
      <w:r>
        <w:t xml:space="preserve">The dramatic decline in Simeon’s numbers — from 59,300 to 22,200, a loss of nearly 40,000 men in forty years — almost certainly reflects the plague following Baal Peor, in which Zimri, a Simeonite leader, was among the slain. The consequences of sin are visible in the census data. Yet Simeon still appears in the census. The tribe is still counted. It still receives an inheritance. The God who disciplines is not the God who abandons. The believer who has suffered real consequences for real sin — and who may feel that those consequences constitute evidence of divine rejection — must feel the weight of Simeon’s enrollment. Still counted. Still named. Still heir to the promise.</w:t>
      </w:r>
    </w:p>
    <w:p>
      <w:pPr>
        <w:pStyle w:val="BodyText"/>
      </w:pPr>
      <w:r>
        <w:rPr>
          <w:b/>
          <w:bCs/>
        </w:rPr>
        <w:t xml:space="preserve">4. Worship the God who accomplishes His purposes through a people, not despite needing one.</w:t>
      </w:r>
      <w:r>
        <w:t xml:space="preserve"> </w:t>
      </w:r>
      <w:r>
        <w:rPr>
          <w:i/>
          <w:iCs/>
        </w:rPr>
        <w:t xml:space="preserve">(Affections/Worship)</w:t>
      </w:r>
      <w:r>
        <w:t xml:space="preserve"> </w:t>
      </w:r>
      <w:r>
        <w:t xml:space="preserve">It would have been simpler — by any human reckoning — for God to abandon the covenant nation after forty years of wilderness failure and begin again. He did not. He brought an entirely new generation to the threshold of Canaan, shaped by the wilderness, instructed by the law, and standing in full covenant readiness. This is not God tolerating human involvement in His plans — it is God sovereignly working through human generations to fulfill what He swore to Abraham. The response this demands is not relief but worship: a God this committed to His word, this patient with His people, this sovereign over time and generations, deserves the whole of the heart’s allegiance.</w:t>
      </w:r>
    </w:p>
    <w:p>
      <w:pPr>
        <w:pStyle w:val="BodyText"/>
      </w:pPr>
      <w:r>
        <w:rPr>
          <w:b/>
          <w:bCs/>
        </w:rPr>
        <w:t xml:space="preserve">5. Live as someone on the threshold, not in the wilderness.</w:t>
      </w:r>
      <w:r>
        <w:t xml:space="preserve"> </w:t>
      </w:r>
      <w:r>
        <w:rPr>
          <w:i/>
          <w:iCs/>
        </w:rPr>
        <w:t xml:space="preserve">(Will/Behavior)</w:t>
      </w:r>
      <w:r>
        <w:t xml:space="preserve"> </w:t>
      </w:r>
      <w:r>
        <w:t xml:space="preserve">The census is taken on the plains of Moab — the land is visible from where Israel stands. This generation is not being counted to document a past; they are being counted to prepare for a future. The question the closing verdict puts to every reader is: which generation are you living as? The first generation was counted, prepared, and supplied — and then refused to move. The second generation is being counted for the same reason. To remain in a spiritual posture of circling, deferring, and revisiting the same ground rather than pressing into what God has promised is to functionally re-enlist in the first generation. The reader who has been brought to the threshold of obedience — in a specific act of faith, a specific surrender, a specific step — should take it. The census is done. The land is ahead.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Numbers 26 teaches that God is a covenant-keeping God whose faithfulness operates on a timescale longer than any single generation. His promises are not fragile — they are not undone by rebellion, plague, or mass death. This passage reveals the character of God as simultaneously just and faithful: just, in that the judgment announced in Numbers 14 was executed without exception (save Caleb and Joshua); faithful, in that the nation He promised to Abraham stood in full number at the boundary of the land He promised to give. The land distribution by lot further reveals that God’s sovereignty extends to the specific — which family receives which portion is not left to human negotiation but to divine appointment. Numbers 26 is covenant theology made visible in arithmetic.</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canonical demonstration of the unconditional covenant of grace operating through history. The Abrahamic covenant rested not on Israel’s performance but on God’s oath (Genesis 15:17–18), and Numbers 26 shows that oath holding through a generation of catastrophic failure. This is the logic of</w:t>
      </w:r>
      <w:r>
        <w:t xml:space="preserve"> </w:t>
      </w:r>
      <w:r>
        <w:rPr>
          <w:i/>
          <w:iCs/>
        </w:rPr>
        <w:t xml:space="preserve">sola gratia</w:t>
      </w:r>
      <w:r>
        <w:t xml:space="preserve"> </w:t>
      </w:r>
      <w:r>
        <w:t xml:space="preserve">written into Israel’s demographic record: the nation that stands ready to inherit Canaan does so not because it earned the right but because God swore, and God does not lie. Reformed theology’s insistence that election and covenant are grounded in divine initiative rather than human response finds narrative illustration here. Furthermore, the redemptive-historical movement from wilderness to Canaan functions as a type of the believer’s movement from death to life, from judgment to inheritance — a movement that in the New Covenant is secured by Christ, the one who, unlike the first generation, did not fail in the wilderness (Matthew 4:1–11) and who therefore guarantees the inheritance for all who are united to Him.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kept His word across forty years and an entire generation of failure — Israel stands at 601,730 men, not because they deserved it, but because He swore it to Abraham, and He keeps His oaths. You are not standing before God on the strength of your consistency. You are standing before God on the strength of His. The census is complete, the land is ahead, and the God who counted every name in that register has counted yours. Move forward.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genealogical filler with no sermon value.</w:t>
      </w:r>
      <w:r>
        <w:t xml:space="preserve"> </w:t>
      </w:r>
      <w:r>
        <w:t xml:space="preserve">The most common pitfall for Numbers 26 is simply skipping it, or treating it as a chapter to</w:t>
      </w:r>
      <w:r>
        <w:t xml:space="preserve"> </w:t>
      </w:r>
      <w:r>
        <w:t xml:space="preserve">“cover briefly”</w:t>
      </w:r>
      <w:r>
        <w:t xml:space="preserve"> </w:t>
      </w:r>
      <w:r>
        <w:t xml:space="preserve">before getting to the narrative passages surrounding it. This bypasses the chapter’s deliberate theological architecture. The paired censuses (Numbers 1 and 26) bracket the entire wilderness narrative and together constitute one of Scripture’s most powerful arguments for covenant faithfulness. A preacher who treats Numbers 26 as genealogical background material has missed the whole point. The numbers</w:t>
      </w:r>
      <w:r>
        <w:t xml:space="preserve"> </w:t>
      </w:r>
      <w:r>
        <w:rPr>
          <w:i/>
          <w:iCs/>
        </w:rPr>
        <w:t xml:space="preserve">are</w:t>
      </w:r>
      <w:r>
        <w:t xml:space="preserve"> </w:t>
      </w:r>
      <w:r>
        <w:t xml:space="preserve">the argument.</w:t>
      </w:r>
    </w:p>
    <w:p>
      <w:pPr>
        <w:numPr>
          <w:ilvl w:val="0"/>
          <w:numId w:val="1002"/>
        </w:numPr>
      </w:pPr>
      <w:r>
        <w:rPr>
          <w:b/>
          <w:bCs/>
        </w:rPr>
        <w:t xml:space="preserve">Moralizing from Caleb and Joshua without grounding in covenant faithfulness.</w:t>
      </w:r>
      <w:r>
        <w:t xml:space="preserve"> </w:t>
      </w:r>
      <w:r>
        <w:t xml:space="preserve">The closing reference to Caleb and Joshua invites the sermon to end on</w:t>
      </w:r>
      <w:r>
        <w:t xml:space="preserve"> </w:t>
      </w:r>
      <w:r>
        <w:t xml:space="preserve">“be like Caleb and Joshua — be faithful!”</w:t>
      </w:r>
      <w:r>
        <w:t xml:space="preserve"> </w:t>
      </w:r>
      <w:r>
        <w:t xml:space="preserve">This is precisely the moralistic application the Clowney principle guards against. Caleb and Joshua are not held up as models of exceptional human willpower. They are exceptions that prove the covenant verdict — not the center of the chapter’s claim. The center is that God executed His word exactly as He said. Caleb and Joshua’s survival witnesses to divine faithfulness, not to human achievability.</w:t>
      </w:r>
    </w:p>
    <w:p>
      <w:pPr>
        <w:numPr>
          <w:ilvl w:val="0"/>
          <w:numId w:val="1002"/>
        </w:numPr>
      </w:pPr>
      <w:r>
        <w:rPr>
          <w:b/>
          <w:bCs/>
        </w:rPr>
        <w:t xml:space="preserve">Ignoring the tribal variations in enrollment and what they signal.</w:t>
      </w:r>
      <w:r>
        <w:t xml:space="preserve"> </w:t>
      </w:r>
      <w:r>
        <w:t xml:space="preserve">Simeon’s dramatic decline and the shifts across other tribes are not statistical noise. The preacher who reads through the census data without pausing to note what the variations signal (blessing, judgment, consequence) has flattened the text. The census data is not inert — it encodes Israel’s recent history. Simeon’s numbers are the Baal Peor plague made visible in arithmetic.</w:t>
      </w:r>
    </w:p>
    <w:p>
      <w:pPr>
        <w:numPr>
          <w:ilvl w:val="0"/>
          <w:numId w:val="1002"/>
        </w:numPr>
      </w:pPr>
      <w:r>
        <w:rPr>
          <w:b/>
          <w:bCs/>
        </w:rPr>
        <w:t xml:space="preserve">Misusing the land-distribution passage to collapse the text into a sermon on stewardship or proportionality.</w:t>
      </w:r>
      <w:r>
        <w:t xml:space="preserve"> </w:t>
      </w:r>
      <w:r>
        <w:t xml:space="preserve">Verses 52–56 do discuss distributing the land proportionately — but this is not a stewardship principle or a fairness principle. It is a covenant provision: every tribe, regardless of size, receives its share. The larger get more; the smaller get less; but all receive. The point is not administrative equity — it is that no tribe is cut out of the inheritance. Every tribe enrolled in the covenant gets a stake in the promised land.</w:t>
      </w:r>
    </w:p>
    <w:p>
      <w:pPr>
        <w:numPr>
          <w:ilvl w:val="0"/>
          <w:numId w:val="1002"/>
        </w:numPr>
      </w:pPr>
      <w:r>
        <w:rPr>
          <w:b/>
          <w:bCs/>
        </w:rPr>
        <w:t xml:space="preserve">Failing to preach the</w:t>
      </w:r>
      <w:r>
        <w:rPr>
          <w:b/>
          <w:bCs/>
        </w:rPr>
        <w:t xml:space="preserve"> </w:t>
      </w:r>
      <w:r>
        <w:rPr>
          <w:b/>
          <w:bCs/>
        </w:rPr>
        <w:t xml:space="preserve">“not one remained”</w:t>
      </w:r>
      <w:r>
        <w:rPr>
          <w:b/>
          <w:bCs/>
        </w:rPr>
        <w:t xml:space="preserve"> </w:t>
      </w:r>
      <w:r>
        <w:rPr>
          <w:b/>
          <w:bCs/>
        </w:rPr>
        <w:t xml:space="preserve">verdict as theological climax.</w:t>
      </w:r>
      <w:r>
        <w:t xml:space="preserve"> </w:t>
      </w:r>
      <w:r>
        <w:t xml:space="preserve">Verses 64–65 are the interpretive key to the entire chapter. If the preacher buries them at the end of a long reading list or treats them as a closing historical note, the chapter ends without its point being made. These verses are the narrator’s explicit theological commentary — the only moment in the chapter where the text steps back from enumeration and says:</w:t>
      </w:r>
      <w:r>
        <w:t xml:space="preserve"> </w:t>
      </w:r>
      <w:r>
        <w:rPr>
          <w:i/>
          <w:iCs/>
        </w:rPr>
        <w:t xml:space="preserve">here is what this means</w:t>
      </w:r>
      <w:r>
        <w:t xml:space="preserve">. They deserve to be preached as the chapter’s culminating claim, not its afterthought.</w:t>
      </w:r>
    </w:p>
    <w:p>
      <w:pPr>
        <w:numPr>
          <w:ilvl w:val="0"/>
          <w:numId w:val="1002"/>
        </w:numPr>
      </w:pPr>
      <w:r>
        <w:rPr>
          <w:b/>
          <w:bCs/>
        </w:rPr>
        <w:t xml:space="preserve">Disconnecting this census from the first census in Numbers 1.</w:t>
      </w:r>
      <w:r>
        <w:t xml:space="preserve"> </w:t>
      </w:r>
      <w:r>
        <w:t xml:space="preserve">To preach Numbers 26 without explicit reference to Numbers 1 is to preach a half-argument. The theological force of this chapter depends entirely on knowing what the first census showed and recognizing that forty years later, under conditions of severe judgment, the totals are almost unchanged. A congregation that does not carry Numbers 1 into the reading of Numbers 26 will hear census data. A congregation that does will hear a sermon God has already preached in numbers.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2026-07-14T21:01:55Z</dcterms:created>
  <dcterms:modified xsi:type="dcterms:W3CDTF">2026-07-14T21:01:55Z</dcterms:modified>
</cp:coreProperties>
</file>

<file path=docProps/custom.xml><?xml version="1.0" encoding="utf-8"?>
<Properties xmlns="http://schemas.openxmlformats.org/officeDocument/2006/custom-properties" xmlns:vt="http://schemas.openxmlformats.org/officeDocument/2006/docPropsVTypes"/>
</file>